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формы справки о доходах, расходах,</w:t>
      </w:r>
      <w:r>
        <w:rPr>
          <w:color w:val="000000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000000"/>
          <w:sz w:val="27"/>
          <w:szCs w:val="27"/>
        </w:rPr>
        <w:br/>
        <w:t>и внесении изменений в некоторые акты Президента</w:t>
      </w:r>
      <w:r>
        <w:rPr>
          <w:color w:val="000000"/>
          <w:sz w:val="27"/>
          <w:szCs w:val="27"/>
        </w:rPr>
        <w:br/>
        <w:t>Российской Федерации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000000"/>
          <w:sz w:val="27"/>
          <w:szCs w:val="27"/>
        </w:rPr>
        <w:t>от 3 декабря 2012 г.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000000"/>
          <w:sz w:val="27"/>
          <w:szCs w:val="27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558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Указе: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подпункты "б" - "и" пункта 1 признать утратившими силу;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 изложить в следующей редакции: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3 признать утратившим силу;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Положении: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Указе: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подпункты "б" - "д" пункта 1 признать утратившими силу;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 изложить в следующей редакции: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560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</w:t>
      </w:r>
      <w:r>
        <w:rPr>
          <w:color w:val="000000"/>
          <w:sz w:val="27"/>
          <w:szCs w:val="27"/>
        </w:rPr>
        <w:lastRenderedPageBreak/>
        <w:t>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 № 309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пункт 8 изложить в следующей редакции: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 № 310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пункт 9 признать утратившим силу;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дополнить пунктом 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Настоящий Указ вступает в силу с 1 января 2015 г.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i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 июня 2014 года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460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s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 </w:t>
      </w:r>
      <w:r>
        <w:rPr>
          <w:color w:val="000000"/>
          <w:sz w:val="27"/>
          <w:szCs w:val="27"/>
        </w:rPr>
        <w:br/>
        <w:t>Указом Президента </w:t>
      </w:r>
      <w:r>
        <w:rPr>
          <w:color w:val="000000"/>
          <w:sz w:val="27"/>
          <w:szCs w:val="27"/>
        </w:rPr>
        <w:br/>
        <w:t>Российской Федерации </w:t>
      </w:r>
      <w:r>
        <w:rPr>
          <w:color w:val="000000"/>
          <w:sz w:val="27"/>
          <w:szCs w:val="27"/>
        </w:rPr>
        <w:br/>
        <w:t>от 23 июня 2014 г. № 460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k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____________________________________________________________________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000000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000000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k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____________________________________________________________________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___________________________________________________________________________,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паспорта, дата выдачи и орган, выдавший паспорт, страховой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___________________________________________________________________________,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000000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000000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зарегистрированный по адресу________________________________________________,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(адрес места регистрации, основное место работы (службы), занимаемая</w:t>
      </w:r>
      <w:r>
        <w:rPr>
          <w:color w:val="000000"/>
          <w:sz w:val="27"/>
          <w:szCs w:val="27"/>
        </w:rPr>
        <w:br/>
        <w:t>(замещаемая) должность)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отчетный период с 1 января 20__ г. по 31 декабря 20__ г.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имуществе, принадлежащем 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                (фамилия, имя, отчество)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000000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13)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h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Величина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дохода</w:t>
            </w:r>
            <w:r>
              <w:rPr>
                <w:rStyle w:val="w91"/>
                <w:color w:val="000000"/>
                <w:sz w:val="27"/>
                <w:szCs w:val="27"/>
              </w:rPr>
              <w:t xml:space="preserve">2 </w:t>
            </w:r>
            <w:r>
              <w:rPr>
                <w:rStyle w:val="ed"/>
                <w:color w:val="000000"/>
                <w:sz w:val="27"/>
                <w:szCs w:val="27"/>
              </w:rPr>
              <w:t>(руб.)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  <w:r>
              <w:rPr>
                <w:rStyle w:val="ed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________________________________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доходы (включая пенсии, пособия, иные выплаты) за отчетный период.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3</w:t>
      </w:r>
      <w:r>
        <w:rPr>
          <w:rStyle w:val="ed"/>
          <w:color w:val="000000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h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Основание</w:t>
            </w:r>
          </w:p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Земельные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участки: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Иное недвижимое имущество: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Транспортные средства: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Ценные бумаги: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Цифровые финансовые активы: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Цифровая валюта: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3. Сведения об имуществе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3.1. Недвижимое имущество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3</w:t>
            </w:r>
            <w:r>
              <w:rPr>
                <w:rFonts w:eastAsia="Times New Roman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000000"/>
        </w:rPr>
        <w:t>от 7 мая 2013 г. № 79-ФЗ</w:t>
      </w:r>
      <w:r>
        <w:rPr>
          <w:color w:val="000000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3.2. Транспортные средства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00000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h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3.4. Утилитарные цифровые права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_____________________________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h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3.5. Цифровая валюта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(В редакции Указа Президента Российской Федерации от 10.12.2020 № 778)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3</w:t>
      </w:r>
      <w:r>
        <w:rPr>
          <w:rStyle w:val="edx"/>
          <w:color w:val="000000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  <w:r>
        <w:rPr>
          <w:rStyle w:val="markx"/>
        </w:rPr>
        <w:t> (В редакции  Указа Президента Российской Федерации от 25.01.2024 № 71)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color w:val="000000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5. Сведения о ценных бумагах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Местонахождение организации</w:t>
            </w:r>
            <w:r>
              <w:rPr>
                <w:color w:val="000000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участия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5.2. Иные ценные бумаги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000000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6. Сведения об обязательствах имущественного характера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000000"/>
          <w:sz w:val="27"/>
          <w:szCs w:val="27"/>
        </w:rPr>
        <w:t>1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Указываются по состоянию на отчетную дату.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вид недвижимого имущества (земельный участок, жилой дом, дача и другие).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Указываются вид пользования (аренда, безвозмездное пользование и другие) и сроки пользования.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000000"/>
          <w:sz w:val="27"/>
          <w:szCs w:val="27"/>
        </w:rPr>
        <w:t>1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№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3</w:t>
            </w: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4</w:t>
            </w: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5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существо обязательства (заем, кредит и другие).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5</w:t>
      </w:r>
      <w:r>
        <w:rPr>
          <w:color w:val="000000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6</w:t>
      </w:r>
      <w:r>
        <w:rPr>
          <w:color w:val="000000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431) </w:t>
      </w:r>
    </w:p>
    <w:p w:rsidR="00000000" w:rsidRDefault="00000000">
      <w:pPr>
        <w:pStyle w:val="j"/>
        <w:spacing w:line="300" w:lineRule="auto"/>
        <w:divId w:val="328757933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7"/>
        <w:gridCol w:w="2509"/>
        <w:gridCol w:w="2180"/>
      </w:tblGrid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Земельные участки: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Иное недвижимое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имущество: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Транспортные средства: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Ценные бумаги: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Цифровые финансовые активы: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Утилитарные цифровые права: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28757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Цифровая валюта: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000000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000000">
      <w:pPr>
        <w:pStyle w:val="n"/>
        <w:spacing w:line="300" w:lineRule="auto"/>
        <w:divId w:val="328757933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Достоверность и полноту настоящих сведений подтверждаю.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"__" ____________ 20__ г. ____________________________________________________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000000">
      <w:pPr>
        <w:pStyle w:val="l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000000">
      <w:pPr>
        <w:pStyle w:val="c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(Ф. И. О. и подпись лица, принявшего справку)</w:t>
      </w:r>
    </w:p>
    <w:p w:rsidR="00000000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C42" w:rsidRDefault="00000000">
      <w:pPr>
        <w:pStyle w:val="a3"/>
        <w:spacing w:line="300" w:lineRule="auto"/>
        <w:divId w:val="32875793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33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3C"/>
    <w:rsid w:val="00334C42"/>
    <w:rsid w:val="00916A7A"/>
    <w:rsid w:val="009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C243-54E2-4BC3-BB6F-1D99700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jc w:val="center"/>
    </w:pPr>
  </w:style>
  <w:style w:type="paragraph" w:customStyle="1" w:styleId="l4">
    <w:name w:val="l4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793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4066</Words>
  <Characters>23180</Characters>
  <Application>Microsoft Office Word</Application>
  <DocSecurity>0</DocSecurity>
  <Lines>193</Lines>
  <Paragraphs>54</Paragraphs>
  <ScaleCrop>false</ScaleCrop>
  <Company/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2025-02-05T13:41:00Z</dcterms:created>
  <dcterms:modified xsi:type="dcterms:W3CDTF">2025-02-05T13:41:00Z</dcterms:modified>
</cp:coreProperties>
</file>